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1CBCC" w14:textId="78E86F21" w:rsidR="00977026" w:rsidRPr="00F538D5" w:rsidRDefault="00977026" w:rsidP="00977026">
      <w:pPr>
        <w:rPr>
          <w:sz w:val="24"/>
          <w:szCs w:val="24"/>
        </w:rPr>
      </w:pPr>
      <w:bookmarkStart w:id="0" w:name="_GoBack"/>
      <w:bookmarkEnd w:id="0"/>
      <w:r w:rsidRPr="00F538D5">
        <w:rPr>
          <w:sz w:val="24"/>
          <w:szCs w:val="24"/>
        </w:rPr>
        <w:t xml:space="preserve">In order to slow the spread of rapidly increasing COVID cases in our state, and ensure that hospital and medical systems are not overwhelmed, we are taking the very difficult but necessary steps to protect public health. </w:t>
      </w:r>
    </w:p>
    <w:p w14:paraId="47E417FE" w14:textId="77777777" w:rsidR="00977026" w:rsidRPr="00F538D5" w:rsidRDefault="00977026" w:rsidP="00977026">
      <w:pPr>
        <w:rPr>
          <w:sz w:val="24"/>
          <w:szCs w:val="24"/>
        </w:rPr>
      </w:pPr>
      <w:r w:rsidRPr="00F538D5">
        <w:rPr>
          <w:sz w:val="24"/>
          <w:szCs w:val="24"/>
        </w:rPr>
        <w:t xml:space="preserve">We recognize this will cause financial hardship for many businesses and the governor and staff are exploring ways to mitigate the impacts. </w:t>
      </w:r>
    </w:p>
    <w:p w14:paraId="14793EAC" w14:textId="77777777" w:rsidR="00977026" w:rsidRPr="00F538D5" w:rsidRDefault="00977026" w:rsidP="00977026">
      <w:pPr>
        <w:rPr>
          <w:sz w:val="24"/>
          <w:szCs w:val="24"/>
        </w:rPr>
      </w:pPr>
      <w:r w:rsidRPr="00F538D5">
        <w:rPr>
          <w:sz w:val="24"/>
          <w:szCs w:val="24"/>
        </w:rPr>
        <w:t>These rules are effective Monday, Nov. 16</w:t>
      </w:r>
      <w:r w:rsidRPr="00F538D5">
        <w:rPr>
          <w:sz w:val="24"/>
          <w:szCs w:val="24"/>
          <w:vertAlign w:val="superscript"/>
        </w:rPr>
        <w:t>th</w:t>
      </w:r>
      <w:r w:rsidRPr="00F538D5">
        <w:rPr>
          <w:sz w:val="24"/>
          <w:szCs w:val="24"/>
        </w:rPr>
        <w:t xml:space="preserve"> at midnight (12:01 am Tuesday), except for where noted as in the case of restaurants (detailed below). </w:t>
      </w:r>
    </w:p>
    <w:p w14:paraId="4844E682" w14:textId="7072B465" w:rsidR="00200054" w:rsidRPr="00F538D5" w:rsidRDefault="00991562" w:rsidP="00200054">
      <w:pPr>
        <w:rPr>
          <w:sz w:val="24"/>
          <w:szCs w:val="24"/>
        </w:rPr>
      </w:pPr>
      <w:r w:rsidRPr="00F538D5">
        <w:rPr>
          <w:sz w:val="24"/>
          <w:szCs w:val="24"/>
        </w:rPr>
        <w:t xml:space="preserve">If the activity is not listed, it should follow its current guidance. </w:t>
      </w:r>
      <w:r w:rsidR="00323BDE" w:rsidRPr="00F538D5">
        <w:rPr>
          <w:sz w:val="24"/>
          <w:szCs w:val="24"/>
        </w:rPr>
        <w:t>All K-12</w:t>
      </w:r>
      <w:r w:rsidR="002E34E7" w:rsidRPr="00F538D5">
        <w:rPr>
          <w:sz w:val="24"/>
          <w:szCs w:val="24"/>
        </w:rPr>
        <w:t>/higher</w:t>
      </w:r>
      <w:r w:rsidR="00323BDE" w:rsidRPr="00F538D5">
        <w:rPr>
          <w:sz w:val="24"/>
          <w:szCs w:val="24"/>
        </w:rPr>
        <w:t xml:space="preserve"> education and childcare is exempt from the new restrictions and will follow current guidance. </w:t>
      </w:r>
      <w:r w:rsidR="002E34E7" w:rsidRPr="00F538D5">
        <w:rPr>
          <w:sz w:val="24"/>
          <w:szCs w:val="24"/>
        </w:rPr>
        <w:t xml:space="preserve">These restrictions do not apply to courts and court related proceedings. </w:t>
      </w:r>
    </w:p>
    <w:p w14:paraId="164BECCF" w14:textId="5BA6BBB0" w:rsidR="00200054" w:rsidRPr="00F538D5" w:rsidRDefault="00D539B0" w:rsidP="00200054">
      <w:pPr>
        <w:pStyle w:val="ListParagraph"/>
        <w:numPr>
          <w:ilvl w:val="0"/>
          <w:numId w:val="2"/>
        </w:numPr>
        <w:rPr>
          <w:sz w:val="24"/>
          <w:szCs w:val="24"/>
        </w:rPr>
      </w:pPr>
      <w:r w:rsidRPr="00F538D5">
        <w:rPr>
          <w:b/>
          <w:bCs/>
          <w:sz w:val="24"/>
          <w:szCs w:val="24"/>
        </w:rPr>
        <w:t>Indoor s</w:t>
      </w:r>
      <w:r w:rsidR="00BE2905" w:rsidRPr="00F538D5">
        <w:rPr>
          <w:b/>
          <w:bCs/>
          <w:sz w:val="24"/>
          <w:szCs w:val="24"/>
        </w:rPr>
        <w:t>ocial gatherings</w:t>
      </w:r>
      <w:r w:rsidR="00BE2905" w:rsidRPr="00F538D5">
        <w:rPr>
          <w:sz w:val="24"/>
          <w:szCs w:val="24"/>
        </w:rPr>
        <w:t xml:space="preserve"> </w:t>
      </w:r>
      <w:r w:rsidRPr="00F538D5">
        <w:rPr>
          <w:sz w:val="24"/>
          <w:szCs w:val="24"/>
        </w:rPr>
        <w:t xml:space="preserve">with </w:t>
      </w:r>
      <w:r w:rsidR="00BE2905" w:rsidRPr="00F538D5">
        <w:rPr>
          <w:sz w:val="24"/>
          <w:szCs w:val="24"/>
        </w:rPr>
        <w:t>people from outside your household</w:t>
      </w:r>
      <w:r w:rsidRPr="00F538D5">
        <w:rPr>
          <w:sz w:val="24"/>
          <w:szCs w:val="24"/>
        </w:rPr>
        <w:t xml:space="preserve"> are prohibited</w:t>
      </w:r>
      <w:r w:rsidR="00BE2905" w:rsidRPr="00F538D5">
        <w:rPr>
          <w:sz w:val="24"/>
          <w:szCs w:val="24"/>
        </w:rPr>
        <w:t xml:space="preserve">. </w:t>
      </w:r>
    </w:p>
    <w:p w14:paraId="79C88408" w14:textId="77777777" w:rsidR="00465158" w:rsidRPr="00F538D5" w:rsidRDefault="00465158" w:rsidP="00465158">
      <w:pPr>
        <w:pStyle w:val="ListParagraph"/>
        <w:numPr>
          <w:ilvl w:val="0"/>
          <w:numId w:val="2"/>
        </w:numPr>
        <w:spacing w:line="252" w:lineRule="auto"/>
        <w:rPr>
          <w:rFonts w:eastAsia="Times New Roman"/>
          <w:sz w:val="24"/>
          <w:szCs w:val="24"/>
        </w:rPr>
      </w:pPr>
      <w:r w:rsidRPr="00F538D5">
        <w:rPr>
          <w:rFonts w:eastAsia="Times New Roman"/>
          <w:b/>
          <w:bCs/>
          <w:sz w:val="24"/>
          <w:szCs w:val="24"/>
        </w:rPr>
        <w:t xml:space="preserve">Outdoor social gatherings </w:t>
      </w:r>
      <w:r w:rsidRPr="00F538D5">
        <w:rPr>
          <w:rFonts w:eastAsia="Times New Roman"/>
          <w:sz w:val="24"/>
          <w:szCs w:val="24"/>
        </w:rPr>
        <w:t>should be limited to 5 people</w:t>
      </w:r>
      <w:r w:rsidR="00F23B46" w:rsidRPr="00F538D5">
        <w:rPr>
          <w:rFonts w:eastAsia="Times New Roman"/>
          <w:sz w:val="24"/>
          <w:szCs w:val="24"/>
        </w:rPr>
        <w:t xml:space="preserve"> from outside your household</w:t>
      </w:r>
      <w:r w:rsidRPr="00F538D5">
        <w:rPr>
          <w:rFonts w:eastAsia="Times New Roman"/>
          <w:sz w:val="24"/>
          <w:szCs w:val="24"/>
        </w:rPr>
        <w:t>.</w:t>
      </w:r>
      <w:r w:rsidRPr="00F538D5">
        <w:rPr>
          <w:rFonts w:eastAsia="Times New Roman"/>
          <w:b/>
          <w:bCs/>
          <w:sz w:val="24"/>
          <w:szCs w:val="24"/>
        </w:rPr>
        <w:t xml:space="preserve">  </w:t>
      </w:r>
    </w:p>
    <w:p w14:paraId="1C7E2803" w14:textId="38AE2F2B" w:rsidR="00BE2905" w:rsidRPr="00F538D5" w:rsidRDefault="00BE2905" w:rsidP="00200054">
      <w:pPr>
        <w:pStyle w:val="ListParagraph"/>
        <w:numPr>
          <w:ilvl w:val="0"/>
          <w:numId w:val="2"/>
        </w:numPr>
        <w:rPr>
          <w:sz w:val="24"/>
          <w:szCs w:val="24"/>
        </w:rPr>
      </w:pPr>
      <w:r w:rsidRPr="00F538D5">
        <w:rPr>
          <w:b/>
          <w:bCs/>
          <w:sz w:val="24"/>
          <w:szCs w:val="24"/>
        </w:rPr>
        <w:t>Restaurants</w:t>
      </w:r>
      <w:r w:rsidRPr="00F538D5">
        <w:rPr>
          <w:sz w:val="24"/>
          <w:szCs w:val="24"/>
        </w:rPr>
        <w:t xml:space="preserve"> </w:t>
      </w:r>
      <w:r w:rsidR="00D539B0" w:rsidRPr="00F538D5">
        <w:rPr>
          <w:sz w:val="24"/>
          <w:szCs w:val="24"/>
        </w:rPr>
        <w:t xml:space="preserve">and </w:t>
      </w:r>
      <w:r w:rsidR="00FF6121" w:rsidRPr="00F538D5">
        <w:rPr>
          <w:b/>
          <w:bCs/>
          <w:sz w:val="24"/>
          <w:szCs w:val="24"/>
        </w:rPr>
        <w:t>b</w:t>
      </w:r>
      <w:r w:rsidR="00D539B0" w:rsidRPr="00F538D5">
        <w:rPr>
          <w:b/>
          <w:bCs/>
          <w:sz w:val="24"/>
          <w:szCs w:val="24"/>
        </w:rPr>
        <w:t>ars</w:t>
      </w:r>
      <w:r w:rsidR="00D539B0" w:rsidRPr="00F538D5">
        <w:rPr>
          <w:sz w:val="24"/>
          <w:szCs w:val="24"/>
        </w:rPr>
        <w:t xml:space="preserve"> are closed for indoor service. </w:t>
      </w:r>
      <w:r w:rsidR="008A6CBB" w:rsidRPr="00F538D5">
        <w:rPr>
          <w:sz w:val="24"/>
          <w:szCs w:val="24"/>
        </w:rPr>
        <w:t>O</w:t>
      </w:r>
      <w:r w:rsidR="009B4E3A" w:rsidRPr="00F538D5">
        <w:rPr>
          <w:sz w:val="24"/>
          <w:szCs w:val="24"/>
        </w:rPr>
        <w:t>utdoor dinin</w:t>
      </w:r>
      <w:r w:rsidR="008A6CBB" w:rsidRPr="00F538D5">
        <w:rPr>
          <w:sz w:val="24"/>
          <w:szCs w:val="24"/>
        </w:rPr>
        <w:t xml:space="preserve">g </w:t>
      </w:r>
      <w:r w:rsidR="009B4E3A" w:rsidRPr="00F538D5">
        <w:rPr>
          <w:sz w:val="24"/>
          <w:szCs w:val="24"/>
        </w:rPr>
        <w:t>and to-go service</w:t>
      </w:r>
      <w:r w:rsidR="008A6CBB" w:rsidRPr="00F538D5">
        <w:rPr>
          <w:sz w:val="24"/>
          <w:szCs w:val="24"/>
        </w:rPr>
        <w:t xml:space="preserve"> is permitted</w:t>
      </w:r>
      <w:r w:rsidR="00E1175A" w:rsidRPr="00F538D5">
        <w:rPr>
          <w:sz w:val="24"/>
          <w:szCs w:val="24"/>
        </w:rPr>
        <w:t xml:space="preserve">. </w:t>
      </w:r>
      <w:r w:rsidR="00627C1A" w:rsidRPr="00F538D5">
        <w:rPr>
          <w:sz w:val="24"/>
          <w:szCs w:val="24"/>
        </w:rPr>
        <w:t xml:space="preserve">Outdoor dining must follow the </w:t>
      </w:r>
      <w:r w:rsidR="00323BDE" w:rsidRPr="00F538D5">
        <w:rPr>
          <w:sz w:val="24"/>
          <w:szCs w:val="24"/>
        </w:rPr>
        <w:t xml:space="preserve">outdoor dining restriction. </w:t>
      </w:r>
      <w:r w:rsidR="00C82E6F" w:rsidRPr="00F538D5">
        <w:rPr>
          <w:sz w:val="24"/>
          <w:szCs w:val="24"/>
        </w:rPr>
        <w:t>Table size limited to 5 for outdoor</w:t>
      </w:r>
      <w:r w:rsidR="008A6CBB" w:rsidRPr="00F538D5">
        <w:rPr>
          <w:sz w:val="24"/>
          <w:szCs w:val="24"/>
        </w:rPr>
        <w:t xml:space="preserve"> dining</w:t>
      </w:r>
      <w:r w:rsidR="00C82E6F" w:rsidRPr="00F538D5">
        <w:rPr>
          <w:sz w:val="24"/>
          <w:szCs w:val="24"/>
        </w:rPr>
        <w:t xml:space="preserve">.  </w:t>
      </w:r>
      <w:r w:rsidR="005764BB" w:rsidRPr="00F538D5">
        <w:rPr>
          <w:sz w:val="24"/>
          <w:szCs w:val="24"/>
        </w:rPr>
        <w:t xml:space="preserve">These restaurant restrictions go into effect at 12:01 a.m. Wednesday, November 18. </w:t>
      </w:r>
    </w:p>
    <w:p w14:paraId="2ED1AD5E" w14:textId="07FAEE8D" w:rsidR="003E41B9" w:rsidRPr="00F538D5" w:rsidRDefault="00323BDE" w:rsidP="00200054">
      <w:pPr>
        <w:pStyle w:val="ListParagraph"/>
        <w:numPr>
          <w:ilvl w:val="0"/>
          <w:numId w:val="2"/>
        </w:numPr>
        <w:rPr>
          <w:sz w:val="24"/>
          <w:szCs w:val="24"/>
        </w:rPr>
      </w:pPr>
      <w:r w:rsidRPr="00F538D5">
        <w:rPr>
          <w:b/>
          <w:bCs/>
          <w:sz w:val="24"/>
          <w:szCs w:val="24"/>
        </w:rPr>
        <w:t>F</w:t>
      </w:r>
      <w:r w:rsidR="003E41B9" w:rsidRPr="00F538D5">
        <w:rPr>
          <w:b/>
          <w:bCs/>
          <w:sz w:val="24"/>
          <w:szCs w:val="24"/>
        </w:rPr>
        <w:t xml:space="preserve">itness facilities </w:t>
      </w:r>
      <w:r w:rsidRPr="00F538D5">
        <w:rPr>
          <w:b/>
          <w:bCs/>
          <w:sz w:val="24"/>
          <w:szCs w:val="24"/>
        </w:rPr>
        <w:t>and gyms</w:t>
      </w:r>
      <w:r w:rsidRPr="00F538D5">
        <w:rPr>
          <w:sz w:val="24"/>
          <w:szCs w:val="24"/>
        </w:rPr>
        <w:t xml:space="preserve"> </w:t>
      </w:r>
      <w:r w:rsidR="003E41B9" w:rsidRPr="00F538D5">
        <w:rPr>
          <w:sz w:val="24"/>
          <w:szCs w:val="24"/>
        </w:rPr>
        <w:t xml:space="preserve">are </w:t>
      </w:r>
      <w:r w:rsidR="00AD03CF" w:rsidRPr="00F538D5">
        <w:rPr>
          <w:sz w:val="24"/>
          <w:szCs w:val="24"/>
        </w:rPr>
        <w:t>closed for indoor operations</w:t>
      </w:r>
      <w:r w:rsidR="00AB29CB" w:rsidRPr="00F538D5">
        <w:rPr>
          <w:sz w:val="24"/>
          <w:szCs w:val="24"/>
        </w:rPr>
        <w:t>.</w:t>
      </w:r>
      <w:r w:rsidRPr="00F538D5">
        <w:rPr>
          <w:sz w:val="24"/>
          <w:szCs w:val="24"/>
        </w:rPr>
        <w:t xml:space="preserve"> Outdoor fitness classes may still occur but they are limited by the outdoor gathering restriction listed above</w:t>
      </w:r>
      <w:r w:rsidR="003E41B9" w:rsidRPr="00F538D5">
        <w:rPr>
          <w:sz w:val="24"/>
          <w:szCs w:val="24"/>
        </w:rPr>
        <w:t xml:space="preserve">. </w:t>
      </w:r>
      <w:r w:rsidR="00AB29CB" w:rsidRPr="00F538D5">
        <w:rPr>
          <w:sz w:val="24"/>
          <w:szCs w:val="24"/>
        </w:rPr>
        <w:t xml:space="preserve">Drop off childcare closed. </w:t>
      </w:r>
    </w:p>
    <w:p w14:paraId="3CF4C46B" w14:textId="1F419B2D" w:rsidR="009B4E3A" w:rsidRPr="00F538D5" w:rsidRDefault="009B4E3A" w:rsidP="009B4E3A">
      <w:pPr>
        <w:pStyle w:val="ListParagraph"/>
        <w:numPr>
          <w:ilvl w:val="0"/>
          <w:numId w:val="2"/>
        </w:numPr>
        <w:rPr>
          <w:sz w:val="24"/>
          <w:szCs w:val="24"/>
        </w:rPr>
      </w:pPr>
      <w:r w:rsidRPr="00F538D5">
        <w:rPr>
          <w:b/>
          <w:bCs/>
          <w:sz w:val="24"/>
          <w:szCs w:val="24"/>
        </w:rPr>
        <w:t xml:space="preserve">Bowling </w:t>
      </w:r>
      <w:r w:rsidR="00ED1C05" w:rsidRPr="00F538D5">
        <w:rPr>
          <w:b/>
          <w:bCs/>
          <w:sz w:val="24"/>
          <w:szCs w:val="24"/>
        </w:rPr>
        <w:t xml:space="preserve">Centers </w:t>
      </w:r>
      <w:r w:rsidR="00ED1C05" w:rsidRPr="00F538D5">
        <w:rPr>
          <w:sz w:val="24"/>
          <w:szCs w:val="24"/>
        </w:rPr>
        <w:t>are</w:t>
      </w:r>
      <w:r w:rsidRPr="00F538D5">
        <w:rPr>
          <w:sz w:val="24"/>
          <w:szCs w:val="24"/>
        </w:rPr>
        <w:t xml:space="preserve"> closed for indoor service.</w:t>
      </w:r>
    </w:p>
    <w:p w14:paraId="15200B79" w14:textId="77777777" w:rsidR="00E270D6" w:rsidRPr="00F538D5" w:rsidRDefault="00E270D6" w:rsidP="009B4E3A">
      <w:pPr>
        <w:pStyle w:val="ListParagraph"/>
        <w:numPr>
          <w:ilvl w:val="0"/>
          <w:numId w:val="2"/>
        </w:numPr>
        <w:rPr>
          <w:sz w:val="24"/>
          <w:szCs w:val="24"/>
        </w:rPr>
      </w:pPr>
      <w:r w:rsidRPr="00F538D5">
        <w:rPr>
          <w:b/>
          <w:bCs/>
          <w:sz w:val="24"/>
          <w:szCs w:val="24"/>
        </w:rPr>
        <w:t>Miscellaneous Venues:</w:t>
      </w:r>
      <w:r w:rsidRPr="00F538D5">
        <w:rPr>
          <w:sz w:val="24"/>
          <w:szCs w:val="24"/>
        </w:rPr>
        <w:t xml:space="preserve"> All retail activities and business meetings are prohibited. Only professional training and testing that cannot be performed remotely is allowed. Occupancy in each meeting room is limited to 25% or 100 people, whichever is fewer.</w:t>
      </w:r>
      <w:r w:rsidRPr="00F538D5">
        <w:rPr>
          <w:b/>
          <w:bCs/>
          <w:sz w:val="24"/>
          <w:szCs w:val="24"/>
        </w:rPr>
        <w:t xml:space="preserve"> </w:t>
      </w:r>
    </w:p>
    <w:p w14:paraId="0964E931" w14:textId="7712E82E" w:rsidR="009B4E3A" w:rsidRPr="00F538D5" w:rsidRDefault="009B4E3A" w:rsidP="009B4E3A">
      <w:pPr>
        <w:pStyle w:val="ListParagraph"/>
        <w:numPr>
          <w:ilvl w:val="0"/>
          <w:numId w:val="2"/>
        </w:numPr>
        <w:rPr>
          <w:sz w:val="24"/>
          <w:szCs w:val="24"/>
        </w:rPr>
      </w:pPr>
      <w:r w:rsidRPr="00F538D5">
        <w:rPr>
          <w:b/>
          <w:bCs/>
          <w:sz w:val="24"/>
          <w:szCs w:val="24"/>
        </w:rPr>
        <w:t xml:space="preserve">Movie Theaters </w:t>
      </w:r>
      <w:r w:rsidRPr="00F538D5">
        <w:rPr>
          <w:sz w:val="24"/>
          <w:szCs w:val="24"/>
        </w:rPr>
        <w:t>are closed for indoor service.</w:t>
      </w:r>
      <w:r w:rsidR="00ED1C05" w:rsidRPr="00F538D5">
        <w:rPr>
          <w:sz w:val="24"/>
          <w:szCs w:val="24"/>
        </w:rPr>
        <w:t xml:space="preserve"> Drive-in movie theaters are still permitted and must follow the current drive-in movie theater guidance. </w:t>
      </w:r>
    </w:p>
    <w:p w14:paraId="7F52B42B" w14:textId="77777777" w:rsidR="00C012ED" w:rsidRPr="00F538D5" w:rsidRDefault="00C012ED" w:rsidP="009B4E3A">
      <w:pPr>
        <w:pStyle w:val="ListParagraph"/>
        <w:numPr>
          <w:ilvl w:val="0"/>
          <w:numId w:val="2"/>
        </w:numPr>
        <w:rPr>
          <w:sz w:val="24"/>
          <w:szCs w:val="24"/>
        </w:rPr>
      </w:pPr>
      <w:r w:rsidRPr="00F538D5">
        <w:rPr>
          <w:b/>
          <w:bCs/>
          <w:sz w:val="24"/>
          <w:szCs w:val="24"/>
        </w:rPr>
        <w:t>Museums</w:t>
      </w:r>
      <w:r w:rsidR="00C82E6F" w:rsidRPr="00F538D5">
        <w:rPr>
          <w:b/>
          <w:bCs/>
          <w:sz w:val="24"/>
          <w:szCs w:val="24"/>
        </w:rPr>
        <w:t>/Zoos/Aquariums</w:t>
      </w:r>
      <w:r w:rsidRPr="00F538D5">
        <w:rPr>
          <w:sz w:val="24"/>
          <w:szCs w:val="24"/>
        </w:rPr>
        <w:t xml:space="preserve"> are closed for indoor service. </w:t>
      </w:r>
    </w:p>
    <w:p w14:paraId="22D6DEBE" w14:textId="389BEA8E" w:rsidR="00C9187C" w:rsidRPr="00F538D5" w:rsidRDefault="00C9187C" w:rsidP="009B4E3A">
      <w:pPr>
        <w:pStyle w:val="ListParagraph"/>
        <w:numPr>
          <w:ilvl w:val="0"/>
          <w:numId w:val="2"/>
        </w:numPr>
        <w:rPr>
          <w:sz w:val="24"/>
          <w:szCs w:val="24"/>
        </w:rPr>
      </w:pPr>
      <w:r w:rsidRPr="00F538D5">
        <w:rPr>
          <w:b/>
          <w:bCs/>
          <w:sz w:val="24"/>
          <w:szCs w:val="24"/>
        </w:rPr>
        <w:t xml:space="preserve">Real Estate </w:t>
      </w:r>
      <w:r w:rsidR="005C7BE4" w:rsidRPr="00F538D5">
        <w:rPr>
          <w:sz w:val="24"/>
          <w:szCs w:val="24"/>
        </w:rPr>
        <w:t>open houses are prohibited</w:t>
      </w:r>
      <w:r w:rsidRPr="00F538D5">
        <w:rPr>
          <w:sz w:val="24"/>
          <w:szCs w:val="24"/>
        </w:rPr>
        <w:t xml:space="preserve">. </w:t>
      </w:r>
    </w:p>
    <w:p w14:paraId="282BE216" w14:textId="18E759BD" w:rsidR="00C9187C" w:rsidRPr="00F538D5" w:rsidRDefault="00C9187C" w:rsidP="009B4E3A">
      <w:pPr>
        <w:pStyle w:val="ListParagraph"/>
        <w:numPr>
          <w:ilvl w:val="0"/>
          <w:numId w:val="2"/>
        </w:numPr>
        <w:rPr>
          <w:sz w:val="24"/>
          <w:szCs w:val="24"/>
        </w:rPr>
      </w:pPr>
      <w:r w:rsidRPr="00F538D5">
        <w:rPr>
          <w:b/>
          <w:bCs/>
          <w:sz w:val="24"/>
          <w:szCs w:val="24"/>
        </w:rPr>
        <w:t xml:space="preserve">Wedding and Funerals </w:t>
      </w:r>
      <w:r w:rsidR="005C7BE4" w:rsidRPr="00F538D5">
        <w:rPr>
          <w:sz w:val="24"/>
          <w:szCs w:val="24"/>
        </w:rPr>
        <w:t>r</w:t>
      </w:r>
      <w:r w:rsidRPr="00F538D5">
        <w:rPr>
          <w:sz w:val="24"/>
          <w:szCs w:val="24"/>
        </w:rPr>
        <w:t>eceptions</w:t>
      </w:r>
      <w:r w:rsidR="005C7BE4" w:rsidRPr="00F538D5">
        <w:rPr>
          <w:sz w:val="24"/>
          <w:szCs w:val="24"/>
        </w:rPr>
        <w:t xml:space="preserve"> are prohibited</w:t>
      </w:r>
      <w:r w:rsidRPr="00F538D5">
        <w:rPr>
          <w:sz w:val="24"/>
          <w:szCs w:val="24"/>
        </w:rPr>
        <w:t xml:space="preserve">. </w:t>
      </w:r>
      <w:r w:rsidR="002E36CB" w:rsidRPr="00F538D5">
        <w:rPr>
          <w:sz w:val="24"/>
          <w:szCs w:val="24"/>
        </w:rPr>
        <w:t>Ceremon</w:t>
      </w:r>
      <w:r w:rsidR="005C7BE4" w:rsidRPr="00F538D5">
        <w:rPr>
          <w:sz w:val="24"/>
          <w:szCs w:val="24"/>
        </w:rPr>
        <w:t>ies are limited to</w:t>
      </w:r>
      <w:r w:rsidR="002E36CB" w:rsidRPr="00F538D5">
        <w:rPr>
          <w:sz w:val="24"/>
          <w:szCs w:val="24"/>
        </w:rPr>
        <w:t xml:space="preserve"> no more than 30 </w:t>
      </w:r>
      <w:r w:rsidR="005C7BE4" w:rsidRPr="00F538D5">
        <w:rPr>
          <w:sz w:val="24"/>
          <w:szCs w:val="24"/>
        </w:rPr>
        <w:t>people</w:t>
      </w:r>
      <w:r w:rsidR="002E36CB" w:rsidRPr="00F538D5">
        <w:rPr>
          <w:sz w:val="24"/>
          <w:szCs w:val="24"/>
        </w:rPr>
        <w:t xml:space="preserve">. </w:t>
      </w:r>
    </w:p>
    <w:p w14:paraId="368D2F46" w14:textId="57D8A2D9" w:rsidR="00BE2905" w:rsidRPr="00F538D5" w:rsidRDefault="009B4E3A" w:rsidP="00200054">
      <w:pPr>
        <w:pStyle w:val="ListParagraph"/>
        <w:numPr>
          <w:ilvl w:val="0"/>
          <w:numId w:val="2"/>
        </w:numPr>
        <w:rPr>
          <w:sz w:val="24"/>
          <w:szCs w:val="24"/>
        </w:rPr>
      </w:pPr>
      <w:r w:rsidRPr="00F538D5">
        <w:rPr>
          <w:b/>
          <w:bCs/>
          <w:sz w:val="24"/>
          <w:szCs w:val="24"/>
        </w:rPr>
        <w:t>I</w:t>
      </w:r>
      <w:r w:rsidR="00BE2905" w:rsidRPr="00F538D5">
        <w:rPr>
          <w:b/>
          <w:bCs/>
          <w:sz w:val="24"/>
          <w:szCs w:val="24"/>
        </w:rPr>
        <w:t>n-store retail</w:t>
      </w:r>
      <w:r w:rsidR="00E1175A" w:rsidRPr="00F538D5">
        <w:rPr>
          <w:b/>
          <w:bCs/>
          <w:sz w:val="24"/>
          <w:szCs w:val="24"/>
        </w:rPr>
        <w:t xml:space="preserve"> </w:t>
      </w:r>
      <w:r w:rsidR="006528A1" w:rsidRPr="00F538D5">
        <w:rPr>
          <w:sz w:val="24"/>
          <w:szCs w:val="24"/>
        </w:rPr>
        <w:t>limited to 25% indoor occupancy</w:t>
      </w:r>
      <w:r w:rsidR="006528A1" w:rsidRPr="00F538D5">
        <w:rPr>
          <w:b/>
          <w:bCs/>
          <w:sz w:val="24"/>
          <w:szCs w:val="24"/>
        </w:rPr>
        <w:t xml:space="preserve"> </w:t>
      </w:r>
      <w:r w:rsidR="006528A1" w:rsidRPr="00F538D5">
        <w:rPr>
          <w:sz w:val="24"/>
          <w:szCs w:val="24"/>
        </w:rPr>
        <w:t>and</w:t>
      </w:r>
      <w:r w:rsidR="006528A1" w:rsidRPr="00F538D5">
        <w:rPr>
          <w:b/>
          <w:bCs/>
          <w:sz w:val="24"/>
          <w:szCs w:val="24"/>
        </w:rPr>
        <w:t xml:space="preserve"> </w:t>
      </w:r>
      <w:r w:rsidR="00C012ED" w:rsidRPr="00F538D5">
        <w:rPr>
          <w:sz w:val="24"/>
          <w:szCs w:val="24"/>
        </w:rPr>
        <w:t>must close a</w:t>
      </w:r>
      <w:r w:rsidR="00E1175A" w:rsidRPr="00F538D5">
        <w:rPr>
          <w:sz w:val="24"/>
          <w:szCs w:val="24"/>
        </w:rPr>
        <w:t>ny common/congregate non-food related seating areas. Food court</w:t>
      </w:r>
      <w:r w:rsidR="00AF227F" w:rsidRPr="00F538D5">
        <w:rPr>
          <w:sz w:val="24"/>
          <w:szCs w:val="24"/>
        </w:rPr>
        <w:t xml:space="preserve"> indoor seating</w:t>
      </w:r>
      <w:r w:rsidRPr="00F538D5">
        <w:rPr>
          <w:sz w:val="24"/>
          <w:szCs w:val="24"/>
        </w:rPr>
        <w:t xml:space="preserve"> </w:t>
      </w:r>
      <w:r w:rsidR="00AF227F" w:rsidRPr="00F538D5">
        <w:rPr>
          <w:sz w:val="24"/>
          <w:szCs w:val="24"/>
        </w:rPr>
        <w:t>is</w:t>
      </w:r>
      <w:r w:rsidRPr="00F538D5">
        <w:rPr>
          <w:sz w:val="24"/>
          <w:szCs w:val="24"/>
        </w:rPr>
        <w:t xml:space="preserve"> closed</w:t>
      </w:r>
      <w:r w:rsidR="00E1175A" w:rsidRPr="00F538D5">
        <w:rPr>
          <w:sz w:val="24"/>
          <w:szCs w:val="24"/>
        </w:rPr>
        <w:t xml:space="preserve">. </w:t>
      </w:r>
    </w:p>
    <w:p w14:paraId="3F98FE9A" w14:textId="2B160C87" w:rsidR="005C7BE4" w:rsidRPr="00F538D5" w:rsidRDefault="00BE2905" w:rsidP="00733050">
      <w:pPr>
        <w:pStyle w:val="ListParagraph"/>
        <w:numPr>
          <w:ilvl w:val="0"/>
          <w:numId w:val="2"/>
        </w:numPr>
        <w:rPr>
          <w:sz w:val="24"/>
          <w:szCs w:val="24"/>
        </w:rPr>
      </w:pPr>
      <w:r w:rsidRPr="00F538D5">
        <w:rPr>
          <w:b/>
          <w:bCs/>
          <w:sz w:val="24"/>
          <w:szCs w:val="24"/>
        </w:rPr>
        <w:t>Religious services</w:t>
      </w:r>
      <w:r w:rsidRPr="00F538D5">
        <w:rPr>
          <w:sz w:val="24"/>
          <w:szCs w:val="24"/>
        </w:rPr>
        <w:t xml:space="preserve"> </w:t>
      </w:r>
      <w:bookmarkStart w:id="1" w:name="_Hlk56168620"/>
      <w:r w:rsidR="00E1175A" w:rsidRPr="00F538D5">
        <w:rPr>
          <w:sz w:val="24"/>
          <w:szCs w:val="24"/>
        </w:rPr>
        <w:t xml:space="preserve">limited to 25% indoor occupancy </w:t>
      </w:r>
      <w:bookmarkEnd w:id="1"/>
      <w:r w:rsidR="00E1175A" w:rsidRPr="00F538D5">
        <w:rPr>
          <w:sz w:val="24"/>
          <w:szCs w:val="24"/>
        </w:rPr>
        <w:t xml:space="preserve">no more than </w:t>
      </w:r>
      <w:r w:rsidR="00544FAE" w:rsidRPr="00F538D5">
        <w:rPr>
          <w:sz w:val="24"/>
          <w:szCs w:val="24"/>
        </w:rPr>
        <w:t>2</w:t>
      </w:r>
      <w:r w:rsidR="009B4E3A" w:rsidRPr="00F538D5">
        <w:rPr>
          <w:sz w:val="24"/>
          <w:szCs w:val="24"/>
        </w:rPr>
        <w:t>00</w:t>
      </w:r>
      <w:r w:rsidR="00E1175A" w:rsidRPr="00F538D5">
        <w:rPr>
          <w:sz w:val="24"/>
          <w:szCs w:val="24"/>
        </w:rPr>
        <w:t xml:space="preserve"> people</w:t>
      </w:r>
      <w:r w:rsidR="007A46F6" w:rsidRPr="00F538D5">
        <w:rPr>
          <w:sz w:val="24"/>
          <w:szCs w:val="24"/>
        </w:rPr>
        <w:t>, whichever is fewer</w:t>
      </w:r>
      <w:r w:rsidR="00E1175A" w:rsidRPr="00F538D5">
        <w:rPr>
          <w:sz w:val="24"/>
          <w:szCs w:val="24"/>
        </w:rPr>
        <w:t>.</w:t>
      </w:r>
      <w:r w:rsidR="002E36CB" w:rsidRPr="00F538D5">
        <w:rPr>
          <w:sz w:val="24"/>
          <w:szCs w:val="24"/>
        </w:rPr>
        <w:t xml:space="preserve"> </w:t>
      </w:r>
      <w:r w:rsidR="008714EA" w:rsidRPr="00F538D5">
        <w:rPr>
          <w:sz w:val="24"/>
          <w:szCs w:val="24"/>
        </w:rPr>
        <w:t xml:space="preserve">No choir, band, or ensemble shall perform during the service.  Soloists </w:t>
      </w:r>
      <w:r w:rsidR="000C6EDE" w:rsidRPr="00F538D5">
        <w:rPr>
          <w:sz w:val="24"/>
          <w:szCs w:val="24"/>
        </w:rPr>
        <w:t xml:space="preserve">are permitted to </w:t>
      </w:r>
      <w:r w:rsidR="00AD03CF" w:rsidRPr="00F538D5">
        <w:rPr>
          <w:sz w:val="24"/>
          <w:szCs w:val="24"/>
        </w:rPr>
        <w:t>perform</w:t>
      </w:r>
      <w:r w:rsidR="008714EA" w:rsidRPr="00F538D5">
        <w:rPr>
          <w:sz w:val="24"/>
          <w:szCs w:val="24"/>
        </w:rPr>
        <w:t xml:space="preserve">.  </w:t>
      </w:r>
      <w:r w:rsidR="005C7BE4" w:rsidRPr="00F538D5">
        <w:rPr>
          <w:sz w:val="24"/>
          <w:szCs w:val="24"/>
        </w:rPr>
        <w:t xml:space="preserve">Facial coverings must be worn at all times by congregation members </w:t>
      </w:r>
      <w:r w:rsidR="000C6EDE" w:rsidRPr="00F538D5">
        <w:rPr>
          <w:sz w:val="24"/>
          <w:szCs w:val="24"/>
        </w:rPr>
        <w:t>and no</w:t>
      </w:r>
      <w:r w:rsidR="005C7BE4" w:rsidRPr="00F538D5">
        <w:rPr>
          <w:sz w:val="24"/>
          <w:szCs w:val="24"/>
        </w:rPr>
        <w:t xml:space="preserve"> congregational singing</w:t>
      </w:r>
      <w:r w:rsidR="00AD03CF" w:rsidRPr="00F538D5">
        <w:rPr>
          <w:sz w:val="24"/>
          <w:szCs w:val="24"/>
        </w:rPr>
        <w:t>.</w:t>
      </w:r>
    </w:p>
    <w:p w14:paraId="08FD8247" w14:textId="49FE65ED" w:rsidR="00CF7FA7" w:rsidRPr="00F538D5" w:rsidRDefault="00CF7FA7" w:rsidP="00733050">
      <w:pPr>
        <w:pStyle w:val="ListParagraph"/>
        <w:numPr>
          <w:ilvl w:val="0"/>
          <w:numId w:val="2"/>
        </w:numPr>
        <w:rPr>
          <w:sz w:val="24"/>
          <w:szCs w:val="24"/>
        </w:rPr>
      </w:pPr>
      <w:r w:rsidRPr="00F538D5">
        <w:rPr>
          <w:b/>
          <w:bCs/>
          <w:sz w:val="24"/>
          <w:szCs w:val="24"/>
        </w:rPr>
        <w:lastRenderedPageBreak/>
        <w:t>Professional Services</w:t>
      </w:r>
      <w:r w:rsidRPr="00F538D5">
        <w:rPr>
          <w:sz w:val="24"/>
          <w:szCs w:val="24"/>
        </w:rPr>
        <w:t xml:space="preserve"> are required to mandate that employees work from home when possible, and to close offices to the public. If they remain open, occupancy is restricted to 25%. </w:t>
      </w:r>
    </w:p>
    <w:p w14:paraId="007BA5F4" w14:textId="77777777" w:rsidR="00CF7FA7" w:rsidRPr="00F538D5" w:rsidRDefault="00CF7FA7" w:rsidP="00CF7FA7">
      <w:pPr>
        <w:pStyle w:val="ListParagraph"/>
        <w:numPr>
          <w:ilvl w:val="0"/>
          <w:numId w:val="2"/>
        </w:numPr>
        <w:rPr>
          <w:sz w:val="24"/>
          <w:szCs w:val="24"/>
        </w:rPr>
      </w:pPr>
      <w:r w:rsidRPr="00F538D5">
        <w:rPr>
          <w:b/>
          <w:bCs/>
          <w:sz w:val="24"/>
          <w:szCs w:val="24"/>
        </w:rPr>
        <w:t>Personal services</w:t>
      </w:r>
      <w:r w:rsidRPr="00F538D5">
        <w:rPr>
          <w:sz w:val="24"/>
          <w:szCs w:val="24"/>
        </w:rPr>
        <w:t xml:space="preserve"> are limited to 25% of maximum occupancy.</w:t>
      </w:r>
    </w:p>
    <w:p w14:paraId="229A320C" w14:textId="7F1AB2F9" w:rsidR="00672B45" w:rsidRPr="00F538D5" w:rsidRDefault="00672B45" w:rsidP="00CF7FA7">
      <w:pPr>
        <w:pStyle w:val="ListParagraph"/>
        <w:numPr>
          <w:ilvl w:val="0"/>
          <w:numId w:val="2"/>
        </w:numPr>
        <w:rPr>
          <w:sz w:val="24"/>
          <w:szCs w:val="24"/>
        </w:rPr>
      </w:pPr>
      <w:r w:rsidRPr="00F538D5">
        <w:rPr>
          <w:b/>
          <w:bCs/>
          <w:sz w:val="24"/>
          <w:szCs w:val="24"/>
        </w:rPr>
        <w:t xml:space="preserve">Long-term Care Facilities </w:t>
      </w:r>
      <w:r w:rsidR="00F825DF" w:rsidRPr="00F538D5">
        <w:rPr>
          <w:sz w:val="24"/>
          <w:szCs w:val="24"/>
        </w:rPr>
        <w:t xml:space="preserve">outdoor visits only. </w:t>
      </w:r>
      <w:r w:rsidR="00E270D6" w:rsidRPr="00F538D5">
        <w:rPr>
          <w:sz w:val="24"/>
          <w:szCs w:val="24"/>
        </w:rPr>
        <w:t xml:space="preserve">Exceptions can be made for </w:t>
      </w:r>
      <w:r w:rsidR="00C0748F" w:rsidRPr="00F538D5">
        <w:rPr>
          <w:sz w:val="24"/>
          <w:szCs w:val="24"/>
        </w:rPr>
        <w:t xml:space="preserve">essential support person and </w:t>
      </w:r>
      <w:r w:rsidR="00E270D6" w:rsidRPr="00F538D5">
        <w:rPr>
          <w:sz w:val="24"/>
          <w:szCs w:val="24"/>
        </w:rPr>
        <w:t xml:space="preserve">end-of-life care. </w:t>
      </w:r>
      <w:r w:rsidR="00F825DF" w:rsidRPr="00F538D5">
        <w:rPr>
          <w:sz w:val="24"/>
          <w:szCs w:val="24"/>
        </w:rPr>
        <w:t xml:space="preserve"> </w:t>
      </w:r>
      <w:r w:rsidRPr="00F538D5">
        <w:rPr>
          <w:sz w:val="24"/>
          <w:szCs w:val="24"/>
        </w:rPr>
        <w:t xml:space="preserve"> </w:t>
      </w:r>
    </w:p>
    <w:p w14:paraId="107EB6E1" w14:textId="63602ABF" w:rsidR="00CF7FA7" w:rsidRPr="00F538D5" w:rsidRDefault="00CF7FA7" w:rsidP="00CF7FA7">
      <w:pPr>
        <w:pStyle w:val="ListParagraph"/>
        <w:numPr>
          <w:ilvl w:val="0"/>
          <w:numId w:val="2"/>
        </w:numPr>
        <w:rPr>
          <w:sz w:val="24"/>
          <w:szCs w:val="24"/>
        </w:rPr>
      </w:pPr>
      <w:r w:rsidRPr="00F538D5">
        <w:rPr>
          <w:b/>
          <w:bCs/>
          <w:sz w:val="24"/>
          <w:szCs w:val="24"/>
        </w:rPr>
        <w:t>Youth</w:t>
      </w:r>
      <w:r w:rsidR="00E270D6" w:rsidRPr="00F538D5">
        <w:rPr>
          <w:b/>
          <w:bCs/>
          <w:sz w:val="24"/>
          <w:szCs w:val="24"/>
        </w:rPr>
        <w:t xml:space="preserve"> (school and non-school)</w:t>
      </w:r>
      <w:r w:rsidRPr="00F538D5">
        <w:rPr>
          <w:b/>
          <w:bCs/>
          <w:sz w:val="24"/>
          <w:szCs w:val="24"/>
        </w:rPr>
        <w:t xml:space="preserve"> and adult sporting activities</w:t>
      </w:r>
      <w:r w:rsidRPr="00F538D5">
        <w:rPr>
          <w:sz w:val="24"/>
          <w:szCs w:val="24"/>
        </w:rPr>
        <w:t xml:space="preserve"> limited to outdoor only for </w:t>
      </w:r>
      <w:r w:rsidR="008564A6" w:rsidRPr="00F538D5">
        <w:rPr>
          <w:sz w:val="24"/>
          <w:szCs w:val="24"/>
        </w:rPr>
        <w:t xml:space="preserve">intrateam </w:t>
      </w:r>
      <w:r w:rsidRPr="00F538D5">
        <w:rPr>
          <w:sz w:val="24"/>
          <w:szCs w:val="24"/>
        </w:rPr>
        <w:t xml:space="preserve">practices, masks required for athletes. </w:t>
      </w:r>
    </w:p>
    <w:p w14:paraId="683A7D69" w14:textId="77777777" w:rsidR="00E270D6" w:rsidRPr="00F538D5" w:rsidRDefault="00E270D6" w:rsidP="00E270D6">
      <w:pPr>
        <w:rPr>
          <w:sz w:val="24"/>
          <w:szCs w:val="24"/>
        </w:rPr>
      </w:pPr>
      <w:r w:rsidRPr="00F538D5">
        <w:rPr>
          <w:sz w:val="24"/>
          <w:szCs w:val="24"/>
        </w:rPr>
        <w:t xml:space="preserve">A </w:t>
      </w:r>
      <w:r w:rsidRPr="00F538D5">
        <w:rPr>
          <w:b/>
          <w:bCs/>
          <w:sz w:val="24"/>
          <w:szCs w:val="24"/>
        </w:rPr>
        <w:t>household</w:t>
      </w:r>
      <w:r w:rsidRPr="00F538D5">
        <w:rPr>
          <w:sz w:val="24"/>
          <w:szCs w:val="24"/>
        </w:rPr>
        <w:t xml:space="preserve"> is defined as the individuals residing in the same domicile. </w:t>
      </w:r>
    </w:p>
    <w:sectPr w:rsidR="00E270D6" w:rsidRPr="00F53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573D3"/>
    <w:multiLevelType w:val="hybridMultilevel"/>
    <w:tmpl w:val="4B52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15C7D"/>
    <w:multiLevelType w:val="hybridMultilevel"/>
    <w:tmpl w:val="BDA4E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424E6"/>
    <w:multiLevelType w:val="hybridMultilevel"/>
    <w:tmpl w:val="800A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54"/>
    <w:rsid w:val="00031B63"/>
    <w:rsid w:val="000C6EDE"/>
    <w:rsid w:val="00200054"/>
    <w:rsid w:val="002E34E7"/>
    <w:rsid w:val="002E36CB"/>
    <w:rsid w:val="00323BDE"/>
    <w:rsid w:val="003E41B9"/>
    <w:rsid w:val="00407AFD"/>
    <w:rsid w:val="00465158"/>
    <w:rsid w:val="004A4943"/>
    <w:rsid w:val="00544FAE"/>
    <w:rsid w:val="005764BB"/>
    <w:rsid w:val="005C7BE4"/>
    <w:rsid w:val="00627C1A"/>
    <w:rsid w:val="006528A1"/>
    <w:rsid w:val="00672B45"/>
    <w:rsid w:val="00777501"/>
    <w:rsid w:val="007961D6"/>
    <w:rsid w:val="007A46F6"/>
    <w:rsid w:val="008564A6"/>
    <w:rsid w:val="008714EA"/>
    <w:rsid w:val="008A6CBB"/>
    <w:rsid w:val="008B45E5"/>
    <w:rsid w:val="00926DE2"/>
    <w:rsid w:val="00977026"/>
    <w:rsid w:val="00991562"/>
    <w:rsid w:val="009B4E3A"/>
    <w:rsid w:val="009E5AD5"/>
    <w:rsid w:val="00A74AC1"/>
    <w:rsid w:val="00AB29CB"/>
    <w:rsid w:val="00AD03CF"/>
    <w:rsid w:val="00AF227F"/>
    <w:rsid w:val="00BE2905"/>
    <w:rsid w:val="00C012ED"/>
    <w:rsid w:val="00C0748F"/>
    <w:rsid w:val="00C82E6F"/>
    <w:rsid w:val="00C9187C"/>
    <w:rsid w:val="00CF7FA7"/>
    <w:rsid w:val="00D539B0"/>
    <w:rsid w:val="00D61ABA"/>
    <w:rsid w:val="00E1175A"/>
    <w:rsid w:val="00E270D6"/>
    <w:rsid w:val="00E831F6"/>
    <w:rsid w:val="00ED1C05"/>
    <w:rsid w:val="00F23B46"/>
    <w:rsid w:val="00F32B40"/>
    <w:rsid w:val="00F538D5"/>
    <w:rsid w:val="00F825DF"/>
    <w:rsid w:val="00FF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5CF9"/>
  <w15:chartTrackingRefBased/>
  <w15:docId w15:val="{BD42572F-FB01-4ECA-89BA-A40830DB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054"/>
    <w:pPr>
      <w:ind w:left="720"/>
      <w:contextualSpacing/>
    </w:pPr>
  </w:style>
  <w:style w:type="paragraph" w:styleId="BalloonText">
    <w:name w:val="Balloon Text"/>
    <w:basedOn w:val="Normal"/>
    <w:link w:val="BalloonTextChar"/>
    <w:uiPriority w:val="99"/>
    <w:semiHidden/>
    <w:unhideWhenUsed/>
    <w:rsid w:val="00CF7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FA7"/>
    <w:rPr>
      <w:rFonts w:ascii="Segoe UI" w:hAnsi="Segoe UI" w:cs="Segoe UI"/>
      <w:sz w:val="18"/>
      <w:szCs w:val="18"/>
    </w:rPr>
  </w:style>
  <w:style w:type="character" w:styleId="CommentReference">
    <w:name w:val="annotation reference"/>
    <w:basedOn w:val="DefaultParagraphFont"/>
    <w:uiPriority w:val="99"/>
    <w:semiHidden/>
    <w:unhideWhenUsed/>
    <w:rsid w:val="00E270D6"/>
    <w:rPr>
      <w:sz w:val="16"/>
      <w:szCs w:val="16"/>
    </w:rPr>
  </w:style>
  <w:style w:type="paragraph" w:styleId="CommentText">
    <w:name w:val="annotation text"/>
    <w:basedOn w:val="Normal"/>
    <w:link w:val="CommentTextChar"/>
    <w:uiPriority w:val="99"/>
    <w:semiHidden/>
    <w:unhideWhenUsed/>
    <w:rsid w:val="00E270D6"/>
    <w:pPr>
      <w:spacing w:line="240" w:lineRule="auto"/>
    </w:pPr>
    <w:rPr>
      <w:sz w:val="20"/>
      <w:szCs w:val="20"/>
    </w:rPr>
  </w:style>
  <w:style w:type="character" w:customStyle="1" w:styleId="CommentTextChar">
    <w:name w:val="Comment Text Char"/>
    <w:basedOn w:val="DefaultParagraphFont"/>
    <w:link w:val="CommentText"/>
    <w:uiPriority w:val="99"/>
    <w:semiHidden/>
    <w:rsid w:val="00E270D6"/>
    <w:rPr>
      <w:sz w:val="20"/>
      <w:szCs w:val="20"/>
    </w:rPr>
  </w:style>
  <w:style w:type="paragraph" w:styleId="CommentSubject">
    <w:name w:val="annotation subject"/>
    <w:basedOn w:val="CommentText"/>
    <w:next w:val="CommentText"/>
    <w:link w:val="CommentSubjectChar"/>
    <w:uiPriority w:val="99"/>
    <w:semiHidden/>
    <w:unhideWhenUsed/>
    <w:rsid w:val="00E270D6"/>
    <w:rPr>
      <w:b/>
      <w:bCs/>
    </w:rPr>
  </w:style>
  <w:style w:type="character" w:customStyle="1" w:styleId="CommentSubjectChar">
    <w:name w:val="Comment Subject Char"/>
    <w:basedOn w:val="CommentTextChar"/>
    <w:link w:val="CommentSubject"/>
    <w:uiPriority w:val="99"/>
    <w:semiHidden/>
    <w:rsid w:val="00E270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 State</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Streuli, Nick (GOV)</dc:creator>
  <cp:keywords/>
  <dc:description/>
  <cp:lastModifiedBy>Santos, Melissa</cp:lastModifiedBy>
  <cp:revision>2</cp:revision>
  <dcterms:created xsi:type="dcterms:W3CDTF">2020-11-15T16:17:00Z</dcterms:created>
  <dcterms:modified xsi:type="dcterms:W3CDTF">2020-11-15T16:17:00Z</dcterms:modified>
</cp:coreProperties>
</file>